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2C20" w:rsidRDefault="00677DA5" w:rsidP="00BD1C64">
      <w:pPr>
        <w:pStyle w:val="Titre"/>
        <w:rPr>
          <w:lang w:eastAsia="en-US"/>
        </w:rPr>
      </w:pPr>
      <w:r w:rsidRPr="00692C20">
        <w:rPr>
          <w:lang w:eastAsia="en-US"/>
        </w:rPr>
        <w:t xml:space="preserve">RESSOURCE </w:t>
      </w:r>
    </w:p>
    <w:p w:rsidR="004F667F" w:rsidRPr="00692C20" w:rsidRDefault="00677DA5" w:rsidP="00BD1C64">
      <w:pPr>
        <w:pStyle w:val="Titre"/>
        <w:rPr>
          <w:lang w:eastAsia="en-US"/>
        </w:rPr>
      </w:pPr>
      <w:r w:rsidRPr="00692C20">
        <w:rPr>
          <w:lang w:eastAsia="en-US"/>
        </w:rPr>
        <w:t>PORTEFEUILLE CLIENTS</w:t>
      </w:r>
    </w:p>
    <w:p w:rsidR="00DB6AE9" w:rsidRDefault="004106AF" w:rsidP="00DB6AE9">
      <w:pPr>
        <w:pStyle w:val="Titre2"/>
        <w:rPr>
          <w:rFonts w:asciiTheme="minorHAnsi" w:hAnsiTheme="minorHAnsi"/>
          <w:sz w:val="22"/>
          <w:szCs w:val="22"/>
        </w:rPr>
      </w:pPr>
      <w:r>
        <w:rPr>
          <w:rFonts w:asciiTheme="minorHAnsi" w:hAnsiTheme="minorHAnsi"/>
          <w:sz w:val="22"/>
          <w:szCs w:val="22"/>
        </w:rPr>
        <w:t xml:space="preserve">Six éléments composent cette ressource </w:t>
      </w:r>
      <w:r w:rsidR="00DB6AE9" w:rsidRPr="00A27A7F">
        <w:rPr>
          <w:rFonts w:asciiTheme="minorHAnsi" w:hAnsiTheme="minorHAnsi"/>
          <w:sz w:val="22"/>
          <w:szCs w:val="22"/>
        </w:rPr>
        <w:t>:</w:t>
      </w:r>
    </w:p>
    <w:p w:rsidR="004106AF" w:rsidRPr="004106AF" w:rsidRDefault="004106AF" w:rsidP="004106AF">
      <w:pPr>
        <w:pStyle w:val="Titre2"/>
        <w:rPr>
          <w:rFonts w:asciiTheme="minorHAnsi" w:hAnsiTheme="minorHAnsi"/>
          <w:sz w:val="22"/>
          <w:szCs w:val="22"/>
        </w:rPr>
      </w:pPr>
      <w:r w:rsidRPr="004106AF">
        <w:rPr>
          <w:rFonts w:asciiTheme="minorHAnsi" w:hAnsiTheme="minorHAnsi"/>
          <w:sz w:val="22"/>
          <w:szCs w:val="22"/>
        </w:rPr>
        <w:sym w:font="Wingdings" w:char="F0F0"/>
      </w:r>
      <w:r w:rsidRPr="004106AF">
        <w:rPr>
          <w:rFonts w:asciiTheme="minorHAnsi" w:hAnsiTheme="minorHAnsi"/>
          <w:sz w:val="22"/>
          <w:szCs w:val="22"/>
        </w:rPr>
        <w:t xml:space="preserve"> La notion d’encours clients</w:t>
      </w:r>
      <w:r>
        <w:rPr>
          <w:rFonts w:asciiTheme="minorHAnsi" w:hAnsiTheme="minorHAnsi"/>
          <w:sz w:val="22"/>
          <w:szCs w:val="22"/>
        </w:rPr>
        <w:t> ;</w:t>
      </w:r>
    </w:p>
    <w:p w:rsidR="004F7B78" w:rsidRDefault="004F7B78" w:rsidP="004F7B78">
      <w:pPr>
        <w:pStyle w:val="Titre2"/>
        <w:rPr>
          <w:rFonts w:asciiTheme="minorHAnsi" w:hAnsiTheme="minorHAnsi"/>
          <w:sz w:val="22"/>
          <w:szCs w:val="22"/>
        </w:rPr>
      </w:pPr>
      <w:r w:rsidRPr="004F7B78">
        <w:rPr>
          <w:rFonts w:asciiTheme="minorHAnsi" w:hAnsiTheme="minorHAnsi"/>
          <w:sz w:val="22"/>
          <w:szCs w:val="22"/>
        </w:rPr>
        <w:sym w:font="Wingdings" w:char="F0F0"/>
      </w:r>
      <w:r w:rsidRPr="004F7B78">
        <w:rPr>
          <w:rFonts w:asciiTheme="minorHAnsi" w:hAnsiTheme="minorHAnsi"/>
          <w:sz w:val="22"/>
          <w:szCs w:val="22"/>
        </w:rPr>
        <w:t xml:space="preserve"> Les caractéristiques de la relation avec le client ;</w:t>
      </w:r>
    </w:p>
    <w:p w:rsidR="00DB6AE9" w:rsidRDefault="00DB6AE9" w:rsidP="00DB6AE9">
      <w:pPr>
        <w:pStyle w:val="Titre2"/>
        <w:rPr>
          <w:rFonts w:asciiTheme="minorHAnsi" w:hAnsiTheme="minorHAnsi"/>
          <w:sz w:val="22"/>
          <w:szCs w:val="22"/>
        </w:rPr>
      </w:pPr>
      <w:r w:rsidRPr="00A27A7F">
        <w:rPr>
          <w:rFonts w:asciiTheme="minorHAnsi" w:hAnsiTheme="minorHAnsi"/>
          <w:sz w:val="22"/>
          <w:szCs w:val="22"/>
        </w:rPr>
        <w:sym w:font="Wingdings" w:char="F0F0"/>
      </w:r>
      <w:r w:rsidRPr="00A27A7F">
        <w:rPr>
          <w:rFonts w:asciiTheme="minorHAnsi" w:hAnsiTheme="minorHAnsi"/>
          <w:sz w:val="22"/>
          <w:szCs w:val="22"/>
        </w:rPr>
        <w:t xml:space="preserve"> </w:t>
      </w:r>
      <w:r w:rsidR="00142782" w:rsidRPr="00A27A7F">
        <w:rPr>
          <w:rFonts w:asciiTheme="minorHAnsi" w:hAnsiTheme="minorHAnsi"/>
          <w:sz w:val="22"/>
          <w:szCs w:val="22"/>
        </w:rPr>
        <w:t>Une définition du portefeuille clients</w:t>
      </w:r>
      <w:r w:rsidR="00171A7E">
        <w:rPr>
          <w:rFonts w:asciiTheme="minorHAnsi" w:hAnsiTheme="minorHAnsi"/>
          <w:sz w:val="22"/>
          <w:szCs w:val="22"/>
        </w:rPr>
        <w:t> ;</w:t>
      </w:r>
    </w:p>
    <w:p w:rsidR="00DB6AE9" w:rsidRPr="00A27A7F" w:rsidRDefault="00DB6AE9" w:rsidP="00DB6AE9">
      <w:pPr>
        <w:pStyle w:val="Titre2"/>
        <w:rPr>
          <w:rFonts w:asciiTheme="minorHAnsi" w:hAnsiTheme="minorHAnsi"/>
          <w:sz w:val="22"/>
          <w:szCs w:val="22"/>
        </w:rPr>
      </w:pPr>
      <w:r w:rsidRPr="00A27A7F">
        <w:rPr>
          <w:rFonts w:asciiTheme="minorHAnsi" w:hAnsiTheme="minorHAnsi"/>
          <w:sz w:val="22"/>
          <w:szCs w:val="22"/>
        </w:rPr>
        <w:sym w:font="Wingdings" w:char="F0F0"/>
      </w:r>
      <w:r w:rsidRPr="00A27A7F">
        <w:rPr>
          <w:rFonts w:asciiTheme="minorHAnsi" w:hAnsiTheme="minorHAnsi"/>
          <w:sz w:val="22"/>
          <w:szCs w:val="22"/>
        </w:rPr>
        <w:t xml:space="preserve"> </w:t>
      </w:r>
      <w:r w:rsidR="00142782" w:rsidRPr="00A27A7F">
        <w:rPr>
          <w:rFonts w:asciiTheme="minorHAnsi" w:hAnsiTheme="minorHAnsi"/>
          <w:sz w:val="22"/>
          <w:szCs w:val="22"/>
        </w:rPr>
        <w:t>Une présentation de l’analyse d’un portefeuille clients</w:t>
      </w:r>
      <w:r w:rsidR="00171A7E">
        <w:rPr>
          <w:rFonts w:asciiTheme="minorHAnsi" w:hAnsiTheme="minorHAnsi"/>
          <w:sz w:val="22"/>
          <w:szCs w:val="22"/>
        </w:rPr>
        <w:t> ;</w:t>
      </w:r>
    </w:p>
    <w:p w:rsidR="00DB6AE9" w:rsidRDefault="00DB6AE9" w:rsidP="00DB6AE9">
      <w:pPr>
        <w:pStyle w:val="Titre2"/>
        <w:rPr>
          <w:rFonts w:asciiTheme="minorHAnsi" w:hAnsiTheme="minorHAnsi"/>
          <w:sz w:val="22"/>
          <w:szCs w:val="22"/>
        </w:rPr>
      </w:pPr>
      <w:r w:rsidRPr="00A27A7F">
        <w:rPr>
          <w:rFonts w:asciiTheme="minorHAnsi" w:hAnsiTheme="minorHAnsi"/>
          <w:sz w:val="22"/>
          <w:szCs w:val="22"/>
        </w:rPr>
        <w:sym w:font="Wingdings" w:char="F0F0"/>
      </w:r>
      <w:r w:rsidRPr="00A27A7F">
        <w:rPr>
          <w:rFonts w:asciiTheme="minorHAnsi" w:hAnsiTheme="minorHAnsi"/>
          <w:sz w:val="22"/>
          <w:szCs w:val="22"/>
        </w:rPr>
        <w:t xml:space="preserve"> </w:t>
      </w:r>
      <w:r w:rsidR="00142782" w:rsidRPr="00A27A7F">
        <w:rPr>
          <w:rFonts w:asciiTheme="minorHAnsi" w:hAnsiTheme="minorHAnsi"/>
          <w:sz w:val="22"/>
          <w:szCs w:val="22"/>
        </w:rPr>
        <w:t>« Un portefeuille clients ça se travaille » – http://lentreprise.lexpress.fr/</w:t>
      </w:r>
      <w:r w:rsidR="00171A7E">
        <w:rPr>
          <w:rFonts w:asciiTheme="minorHAnsi" w:hAnsiTheme="minorHAnsi"/>
          <w:sz w:val="22"/>
          <w:szCs w:val="22"/>
        </w:rPr>
        <w:t xml:space="preserve">  </w:t>
      </w:r>
    </w:p>
    <w:p w:rsidR="00892D89" w:rsidRPr="00892D89" w:rsidRDefault="00892D89" w:rsidP="00892D89">
      <w:pPr>
        <w:pStyle w:val="Titre2"/>
        <w:rPr>
          <w:rFonts w:asciiTheme="minorHAnsi" w:hAnsiTheme="minorHAnsi"/>
          <w:sz w:val="22"/>
          <w:szCs w:val="22"/>
        </w:rPr>
      </w:pPr>
      <w:r w:rsidRPr="00A27A7F">
        <w:rPr>
          <w:rFonts w:asciiTheme="minorHAnsi" w:hAnsiTheme="minorHAnsi"/>
          <w:sz w:val="22"/>
          <w:szCs w:val="22"/>
        </w:rPr>
        <w:sym w:font="Wingdings" w:char="F0F0"/>
      </w:r>
      <w:r w:rsidRPr="00A27A7F">
        <w:rPr>
          <w:rFonts w:asciiTheme="minorHAnsi" w:hAnsiTheme="minorHAnsi"/>
          <w:sz w:val="22"/>
          <w:szCs w:val="22"/>
        </w:rPr>
        <w:t xml:space="preserve"> </w:t>
      </w:r>
      <w:r w:rsidRPr="00892D89">
        <w:rPr>
          <w:rFonts w:asciiTheme="minorHAnsi" w:hAnsiTheme="minorHAnsi"/>
          <w:sz w:val="22"/>
          <w:szCs w:val="22"/>
        </w:rPr>
        <w:t>Des exemples de calculs statistiques sur le portefeuille client</w:t>
      </w:r>
    </w:p>
    <w:p w:rsidR="00892D89" w:rsidRDefault="00892D89" w:rsidP="00892D89"/>
    <w:p w:rsidR="004106AF" w:rsidRDefault="004106AF" w:rsidP="00892D89"/>
    <w:p w:rsidR="004106AF" w:rsidRDefault="004106AF" w:rsidP="00892D89"/>
    <w:p w:rsidR="004106AF" w:rsidRPr="004106AF" w:rsidRDefault="004106AF" w:rsidP="004106AF">
      <w:pPr>
        <w:pStyle w:val="Titre1"/>
        <w:keepNext/>
        <w:keepLines/>
        <w:numPr>
          <w:ilvl w:val="0"/>
          <w:numId w:val="10"/>
        </w:numPr>
        <w:shd w:val="clear" w:color="auto" w:fill="DBE5F1" w:themeFill="accent1" w:themeFillTint="33"/>
        <w:spacing w:before="120" w:beforeAutospacing="0" w:after="120" w:afterAutospacing="0"/>
        <w:rPr>
          <w:rFonts w:asciiTheme="minorHAnsi" w:eastAsiaTheme="majorEastAsia" w:hAnsiTheme="minorHAnsi" w:cstheme="majorBidi"/>
          <w:color w:val="1F497D" w:themeColor="text2"/>
          <w:kern w:val="0"/>
          <w:sz w:val="28"/>
          <w:szCs w:val="28"/>
          <w:u w:val="single"/>
          <w:lang w:eastAsia="en-US"/>
        </w:rPr>
      </w:pPr>
      <w:r>
        <w:rPr>
          <w:rFonts w:asciiTheme="minorHAnsi" w:eastAsiaTheme="majorEastAsia" w:hAnsiTheme="minorHAnsi" w:cstheme="majorBidi"/>
          <w:color w:val="1F497D" w:themeColor="text2"/>
          <w:kern w:val="0"/>
          <w:sz w:val="28"/>
          <w:szCs w:val="28"/>
          <w:u w:val="single"/>
          <w:lang w:eastAsia="en-US"/>
        </w:rPr>
        <w:t xml:space="preserve"> En-cours client</w:t>
      </w:r>
    </w:p>
    <w:p w:rsidR="004106AF" w:rsidRPr="00E779FB" w:rsidRDefault="004106AF" w:rsidP="004106AF">
      <w:pPr>
        <w:rPr>
          <w:rFonts w:cstheme="minorHAnsi"/>
          <w:b/>
          <w:color w:val="000000" w:themeColor="text1"/>
        </w:rPr>
      </w:pPr>
    </w:p>
    <w:p w:rsidR="004106AF" w:rsidRDefault="004106AF" w:rsidP="004106AF">
      <w:pPr>
        <w:jc w:val="both"/>
        <w:rPr>
          <w:rFonts w:cstheme="minorHAnsi"/>
        </w:rPr>
      </w:pPr>
      <w:r w:rsidRPr="00E779FB">
        <w:rPr>
          <w:rFonts w:cstheme="minorHAnsi"/>
          <w:color w:val="000000" w:themeColor="text1"/>
        </w:rPr>
        <w:t xml:space="preserve">En </w:t>
      </w:r>
      <w:hyperlink r:id="rId5" w:anchor="xtor=SEC-3168" w:tooltip="Définition de Comptes sociaux" w:history="1">
        <w:r w:rsidRPr="00E779FB">
          <w:rPr>
            <w:rStyle w:val="Lienhypertexte"/>
            <w:rFonts w:cstheme="minorHAnsi"/>
            <w:color w:val="000000" w:themeColor="text1"/>
          </w:rPr>
          <w:t>comptes sociaux</w:t>
        </w:r>
      </w:hyperlink>
      <w:r w:rsidRPr="00E779FB">
        <w:rPr>
          <w:rFonts w:cstheme="minorHAnsi"/>
          <w:color w:val="000000" w:themeColor="text1"/>
        </w:rPr>
        <w:t xml:space="preserve">, l'encours clients se calcule comme la somme des créances clients et comptes rattachés, des effets escomptés non échus déduction faite des avances et acomptes reçus sur commandes en cours. Rapporté au </w:t>
      </w:r>
      <w:hyperlink r:id="rId6" w:anchor="xtor=SEC-3168" w:tooltip="Définition de Chiffre d'affaires" w:history="1">
        <w:r w:rsidRPr="00E779FB">
          <w:rPr>
            <w:rStyle w:val="Lienhypertexte"/>
            <w:rFonts w:cstheme="minorHAnsi"/>
            <w:color w:val="000000" w:themeColor="text1"/>
          </w:rPr>
          <w:t>chiffre d'affaires</w:t>
        </w:r>
      </w:hyperlink>
      <w:r w:rsidRPr="00E779FB">
        <w:rPr>
          <w:rFonts w:cstheme="minorHAnsi"/>
          <w:color w:val="000000" w:themeColor="text1"/>
        </w:rPr>
        <w:t xml:space="preserve"> TTC journalier moyen, l'encours client mesure la rotation du </w:t>
      </w:r>
      <w:hyperlink r:id="rId7" w:anchor="xtor=SEC-3168" w:tooltip="Définition de Crédit clients" w:history="1">
        <w:r w:rsidRPr="00E779FB">
          <w:rPr>
            <w:rStyle w:val="Lienhypertexte"/>
            <w:rFonts w:cstheme="minorHAnsi"/>
            <w:color w:val="000000" w:themeColor="text1"/>
          </w:rPr>
          <w:t>crédit clients</w:t>
        </w:r>
      </w:hyperlink>
      <w:r w:rsidRPr="00E779FB">
        <w:rPr>
          <w:rFonts w:cstheme="minorHAnsi"/>
          <w:color w:val="000000" w:themeColor="text1"/>
        </w:rPr>
        <w:t>, exprimée en jours de CA.</w:t>
      </w:r>
      <w:r w:rsidRPr="00E779FB">
        <w:rPr>
          <w:rFonts w:cstheme="minorHAnsi"/>
        </w:rPr>
        <w:t xml:space="preserve"> </w:t>
      </w:r>
    </w:p>
    <w:p w:rsidR="004106AF" w:rsidRPr="004106AF" w:rsidRDefault="004106AF" w:rsidP="00892D89">
      <w:pPr>
        <w:rPr>
          <w:rFonts w:cstheme="minorHAnsi"/>
          <w:color w:val="0000FF"/>
          <w:u w:val="single"/>
        </w:rPr>
      </w:pPr>
      <w:r w:rsidRPr="00E779FB">
        <w:rPr>
          <w:rFonts w:cstheme="minorHAnsi"/>
        </w:rPr>
        <w:br/>
      </w:r>
      <w:hyperlink r:id="rId8" w:history="1">
        <w:r w:rsidRPr="0095537C">
          <w:rPr>
            <w:color w:val="026ADA"/>
          </w:rPr>
          <w:t>http://www.lesechos.fr/finance-marches/vernimmen/definition_encours-clients.html?9MbDqZ5DlcsaqZW7.99</w:t>
        </w:r>
      </w:hyperlink>
    </w:p>
    <w:p w:rsidR="004106AF" w:rsidRPr="00892D89" w:rsidRDefault="004106AF" w:rsidP="00892D89"/>
    <w:p w:rsidR="004F7B78" w:rsidRPr="004F7B78" w:rsidRDefault="004F7B78" w:rsidP="004F7B78">
      <w:pPr>
        <w:pStyle w:val="Titre1"/>
        <w:keepNext/>
        <w:keepLines/>
        <w:numPr>
          <w:ilvl w:val="0"/>
          <w:numId w:val="10"/>
        </w:numPr>
        <w:shd w:val="clear" w:color="auto" w:fill="DBE5F1" w:themeFill="accent1" w:themeFillTint="33"/>
        <w:spacing w:before="120" w:beforeAutospacing="0" w:after="120" w:afterAutospacing="0"/>
        <w:rPr>
          <w:rFonts w:asciiTheme="minorHAnsi" w:eastAsiaTheme="majorEastAsia" w:hAnsiTheme="minorHAnsi" w:cstheme="majorBidi"/>
          <w:color w:val="1F497D" w:themeColor="text2"/>
          <w:kern w:val="0"/>
          <w:sz w:val="28"/>
          <w:szCs w:val="28"/>
          <w:u w:val="single"/>
          <w:lang w:eastAsia="en-US"/>
        </w:rPr>
      </w:pPr>
      <w:r>
        <w:rPr>
          <w:rFonts w:asciiTheme="minorHAnsi" w:eastAsiaTheme="majorEastAsia" w:hAnsiTheme="minorHAnsi" w:cstheme="majorBidi"/>
          <w:color w:val="1F497D" w:themeColor="text2"/>
          <w:kern w:val="0"/>
          <w:sz w:val="28"/>
          <w:szCs w:val="28"/>
          <w:u w:val="single"/>
          <w:lang w:eastAsia="en-US"/>
        </w:rPr>
        <w:t xml:space="preserve"> </w:t>
      </w:r>
      <w:r w:rsidRPr="004F7B78">
        <w:rPr>
          <w:rFonts w:asciiTheme="minorHAnsi" w:eastAsiaTheme="majorEastAsia" w:hAnsiTheme="minorHAnsi" w:cstheme="majorBidi"/>
          <w:color w:val="1F497D" w:themeColor="text2"/>
          <w:kern w:val="0"/>
          <w:sz w:val="28"/>
          <w:szCs w:val="28"/>
          <w:u w:val="single"/>
          <w:lang w:eastAsia="en-US"/>
        </w:rPr>
        <w:t>Caractéristiques de la relation avec le client</w:t>
      </w:r>
    </w:p>
    <w:p w:rsidR="004F7B78" w:rsidRDefault="004F7B78" w:rsidP="004F7B78">
      <w:pPr>
        <w:jc w:val="both"/>
      </w:pPr>
      <w:r>
        <w:t>Les services comptables ont une perception particulière de la relation client, puisqu'elle est axée sur le suivi des opérations réalisées et de leur traduction correcte dans le SI comptable, et sur le suivi du règlement (respect des délais, exactitude des mouvements de fonds)</w:t>
      </w:r>
    </w:p>
    <w:p w:rsidR="004F7B78" w:rsidRDefault="004F7B78" w:rsidP="004F7B78">
      <w:pPr>
        <w:jc w:val="both"/>
      </w:pPr>
    </w:p>
    <w:p w:rsidR="004F7B78" w:rsidRDefault="004F7B78" w:rsidP="004F7B78">
      <w:pPr>
        <w:jc w:val="both"/>
      </w:pPr>
      <w:r>
        <w:t>Pour autant, cette relation doit aussi s'inscrire dans l'optique plus large de la "relation client" et toutes les démarches visant à améliorer cette relation et la fidélisation de la clientèle doivent être connues.</w:t>
      </w:r>
    </w:p>
    <w:p w:rsidR="00DB6AE9" w:rsidRDefault="00DB6AE9"/>
    <w:p w:rsidR="00DB6AE9" w:rsidRPr="00A27A7F" w:rsidRDefault="00A27A7F" w:rsidP="00A27A7F">
      <w:pPr>
        <w:pStyle w:val="Titre1"/>
        <w:keepNext/>
        <w:keepLines/>
        <w:numPr>
          <w:ilvl w:val="0"/>
          <w:numId w:val="10"/>
        </w:numPr>
        <w:shd w:val="clear" w:color="auto" w:fill="DBE5F1" w:themeFill="accent1" w:themeFillTint="33"/>
        <w:spacing w:before="120" w:beforeAutospacing="0" w:after="120" w:afterAutospacing="0"/>
        <w:rPr>
          <w:rFonts w:asciiTheme="minorHAnsi" w:eastAsiaTheme="majorEastAsia" w:hAnsiTheme="minorHAnsi" w:cstheme="majorBidi"/>
          <w:color w:val="1F497D" w:themeColor="text2"/>
          <w:kern w:val="0"/>
          <w:sz w:val="28"/>
          <w:szCs w:val="28"/>
          <w:u w:val="single"/>
          <w:lang w:eastAsia="en-US"/>
        </w:rPr>
      </w:pPr>
      <w:r>
        <w:rPr>
          <w:rFonts w:asciiTheme="minorHAnsi" w:eastAsiaTheme="majorEastAsia" w:hAnsiTheme="minorHAnsi" w:cstheme="majorBidi"/>
          <w:color w:val="1F497D" w:themeColor="text2"/>
          <w:kern w:val="0"/>
          <w:sz w:val="28"/>
          <w:szCs w:val="28"/>
          <w:u w:val="single"/>
          <w:lang w:eastAsia="en-US"/>
        </w:rPr>
        <w:t xml:space="preserve"> </w:t>
      </w:r>
      <w:r w:rsidR="00DB6AE9" w:rsidRPr="00A27A7F">
        <w:rPr>
          <w:rFonts w:asciiTheme="minorHAnsi" w:eastAsiaTheme="majorEastAsia" w:hAnsiTheme="minorHAnsi" w:cstheme="majorBidi"/>
          <w:color w:val="1F497D" w:themeColor="text2"/>
          <w:kern w:val="0"/>
          <w:sz w:val="28"/>
          <w:szCs w:val="28"/>
          <w:u w:val="single"/>
          <w:lang w:eastAsia="en-US"/>
        </w:rPr>
        <w:t>Le portefeuille clients</w:t>
      </w:r>
    </w:p>
    <w:p w:rsidR="00DB6AE9" w:rsidRDefault="00DB6AE9" w:rsidP="00DB6AE9">
      <w:r>
        <w:t>Le portefeuille clients peut avoir deux acceptations :</w:t>
      </w:r>
    </w:p>
    <w:p w:rsidR="00DB6AE9" w:rsidRDefault="00DB6AE9" w:rsidP="00DB6AE9">
      <w:pPr>
        <w:pStyle w:val="Paragraphedeliste"/>
        <w:numPr>
          <w:ilvl w:val="0"/>
          <w:numId w:val="5"/>
        </w:numPr>
      </w:pPr>
      <w:r>
        <w:t>ensemble de clients détenus par une entreprise ou l'un des ses commerciaux ;</w:t>
      </w:r>
    </w:p>
    <w:p w:rsidR="00DB6AE9" w:rsidRDefault="00DB6AE9" w:rsidP="00DB6AE9">
      <w:pPr>
        <w:pStyle w:val="Paragraphedeliste"/>
        <w:numPr>
          <w:ilvl w:val="0"/>
          <w:numId w:val="5"/>
        </w:numPr>
      </w:pPr>
      <w:r>
        <w:t>totalité des clients d'une entreprise.</w:t>
      </w:r>
    </w:p>
    <w:p w:rsidR="00DB6AE9" w:rsidRDefault="00DB6AE9"/>
    <w:p w:rsidR="00692C20" w:rsidRPr="00A27A7F" w:rsidRDefault="00171A7E" w:rsidP="00A27A7F">
      <w:pPr>
        <w:pStyle w:val="Titre1"/>
        <w:keepNext/>
        <w:keepLines/>
        <w:numPr>
          <w:ilvl w:val="0"/>
          <w:numId w:val="10"/>
        </w:numPr>
        <w:shd w:val="clear" w:color="auto" w:fill="DBE5F1" w:themeFill="accent1" w:themeFillTint="33"/>
        <w:spacing w:before="120" w:beforeAutospacing="0" w:after="120" w:afterAutospacing="0"/>
        <w:rPr>
          <w:rFonts w:asciiTheme="minorHAnsi" w:eastAsiaTheme="majorEastAsia" w:hAnsiTheme="minorHAnsi" w:cstheme="majorBidi"/>
          <w:color w:val="1F497D" w:themeColor="text2"/>
          <w:kern w:val="0"/>
          <w:sz w:val="28"/>
          <w:szCs w:val="28"/>
          <w:u w:val="single"/>
          <w:lang w:eastAsia="en-US"/>
        </w:rPr>
      </w:pPr>
      <w:r>
        <w:rPr>
          <w:rFonts w:asciiTheme="minorHAnsi" w:eastAsiaTheme="majorEastAsia" w:hAnsiTheme="minorHAnsi" w:cstheme="majorBidi"/>
          <w:color w:val="1F497D" w:themeColor="text2"/>
          <w:kern w:val="0"/>
          <w:sz w:val="28"/>
          <w:szCs w:val="28"/>
          <w:u w:val="single"/>
          <w:lang w:eastAsia="en-US"/>
        </w:rPr>
        <w:t xml:space="preserve"> </w:t>
      </w:r>
      <w:r w:rsidR="00692C20" w:rsidRPr="00A27A7F">
        <w:rPr>
          <w:rFonts w:asciiTheme="minorHAnsi" w:eastAsiaTheme="majorEastAsia" w:hAnsiTheme="minorHAnsi" w:cstheme="majorBidi"/>
          <w:color w:val="1F497D" w:themeColor="text2"/>
          <w:kern w:val="0"/>
          <w:sz w:val="28"/>
          <w:szCs w:val="28"/>
          <w:u w:val="single"/>
          <w:lang w:eastAsia="en-US"/>
        </w:rPr>
        <w:t>Analyse d’un portefeuille clients</w:t>
      </w:r>
    </w:p>
    <w:p w:rsidR="00673DC6" w:rsidRDefault="00692C20">
      <w:r w:rsidRPr="00673DC6">
        <w:t>Pour analyser le portefeuille clients, il est souhaitable</w:t>
      </w:r>
      <w:r w:rsidR="00673DC6" w:rsidRPr="00673DC6">
        <w:t xml:space="preserve"> de disposer au moins</w:t>
      </w:r>
      <w:r w:rsidRPr="00673DC6">
        <w:t xml:space="preserve"> :</w:t>
      </w:r>
    </w:p>
    <w:p w:rsidR="004106AF" w:rsidRPr="00673DC6" w:rsidRDefault="004106AF"/>
    <w:p w:rsidR="00673DC6" w:rsidRPr="00673DC6" w:rsidRDefault="00673DC6" w:rsidP="00673DC6">
      <w:pPr>
        <w:pStyle w:val="Paragraphedeliste"/>
        <w:numPr>
          <w:ilvl w:val="0"/>
          <w:numId w:val="4"/>
        </w:numPr>
      </w:pPr>
      <w:r w:rsidRPr="00673DC6">
        <w:rPr>
          <w:rStyle w:val="Accentuation"/>
          <w:i w:val="0"/>
        </w:rPr>
        <w:t>d’in</w:t>
      </w:r>
      <w:r w:rsidR="00692C20" w:rsidRPr="00673DC6">
        <w:rPr>
          <w:rStyle w:val="Accentuation"/>
          <w:i w:val="0"/>
        </w:rPr>
        <w:t>formations quantitatives</w:t>
      </w:r>
      <w:r w:rsidR="00692C20" w:rsidRPr="00673DC6">
        <w:t xml:space="preserve"> : chiffres d’affaires par client, facturable/encaissé, rentabilité, types de clients (taille, chiffres d’affaires, international vs. franco-français…)…</w:t>
      </w:r>
    </w:p>
    <w:p w:rsidR="00692C20" w:rsidRPr="00673DC6" w:rsidRDefault="00673DC6" w:rsidP="00673DC6">
      <w:pPr>
        <w:pStyle w:val="Paragraphedeliste"/>
        <w:numPr>
          <w:ilvl w:val="0"/>
          <w:numId w:val="4"/>
        </w:numPr>
      </w:pPr>
      <w:r w:rsidRPr="00673DC6">
        <w:lastRenderedPageBreak/>
        <w:t>d’</w:t>
      </w:r>
      <w:r w:rsidRPr="00673DC6">
        <w:rPr>
          <w:rStyle w:val="Accentuation"/>
          <w:i w:val="0"/>
        </w:rPr>
        <w:t>i</w:t>
      </w:r>
      <w:r w:rsidR="00692C20" w:rsidRPr="00673DC6">
        <w:rPr>
          <w:rStyle w:val="Accentuation"/>
          <w:i w:val="0"/>
        </w:rPr>
        <w:t>nformations qualitatives</w:t>
      </w:r>
      <w:r w:rsidR="00692C20" w:rsidRPr="00673DC6">
        <w:t xml:space="preserve"> : origine du client, niveau de satisfaction…</w:t>
      </w:r>
      <w:r w:rsidR="00692C20" w:rsidRPr="00673DC6">
        <w:br/>
      </w:r>
    </w:p>
    <w:p w:rsidR="00673DC6" w:rsidRPr="00673DC6" w:rsidRDefault="00673DC6">
      <w:r w:rsidRPr="00673DC6">
        <w:t>On dispose d’i</w:t>
      </w:r>
      <w:r w:rsidR="00692C20" w:rsidRPr="00673DC6">
        <w:t>ndicateurs et ratios </w:t>
      </w:r>
      <w:r w:rsidRPr="00673DC6">
        <w:t xml:space="preserve">pour mener à bien une telle analyse </w:t>
      </w:r>
      <w:r w:rsidR="00692C20" w:rsidRPr="00673DC6">
        <w:t>:</w:t>
      </w:r>
    </w:p>
    <w:p w:rsidR="00673DC6" w:rsidRPr="00673DC6" w:rsidRDefault="00692C20" w:rsidP="00673DC6">
      <w:pPr>
        <w:pStyle w:val="Paragraphedeliste"/>
        <w:numPr>
          <w:ilvl w:val="0"/>
          <w:numId w:val="4"/>
        </w:numPr>
        <w:rPr>
          <w:rStyle w:val="Accentuation"/>
          <w:i w:val="0"/>
        </w:rPr>
      </w:pPr>
      <w:r w:rsidRPr="00673DC6">
        <w:rPr>
          <w:rStyle w:val="Accentuation"/>
          <w:i w:val="0"/>
        </w:rPr>
        <w:t>Evolution du chiffre d’affaires,</w:t>
      </w:r>
    </w:p>
    <w:p w:rsidR="00673DC6" w:rsidRPr="00673DC6" w:rsidRDefault="00692C20" w:rsidP="00673DC6">
      <w:pPr>
        <w:pStyle w:val="Paragraphedeliste"/>
        <w:numPr>
          <w:ilvl w:val="0"/>
          <w:numId w:val="4"/>
        </w:numPr>
        <w:rPr>
          <w:rStyle w:val="Accentuation"/>
          <w:i w:val="0"/>
        </w:rPr>
      </w:pPr>
      <w:r w:rsidRPr="00673DC6">
        <w:rPr>
          <w:rStyle w:val="Accentuation"/>
          <w:i w:val="0"/>
        </w:rPr>
        <w:t>Evolution du nombre de clients,</w:t>
      </w:r>
    </w:p>
    <w:p w:rsidR="00673DC6" w:rsidRPr="00673DC6" w:rsidRDefault="00692C20" w:rsidP="00673DC6">
      <w:pPr>
        <w:pStyle w:val="Paragraphedeliste"/>
        <w:numPr>
          <w:ilvl w:val="0"/>
          <w:numId w:val="4"/>
        </w:numPr>
        <w:rPr>
          <w:rStyle w:val="Accentuation"/>
          <w:i w:val="0"/>
        </w:rPr>
      </w:pPr>
      <w:r w:rsidRPr="00673DC6">
        <w:rPr>
          <w:rStyle w:val="Accentuation"/>
          <w:i w:val="0"/>
        </w:rPr>
        <w:t>Evolution du chiffre d’affaires moyen par client,</w:t>
      </w:r>
    </w:p>
    <w:p w:rsidR="00677DA5" w:rsidRPr="00673DC6" w:rsidRDefault="00692C20" w:rsidP="00673DC6">
      <w:pPr>
        <w:pStyle w:val="Paragraphedeliste"/>
        <w:numPr>
          <w:ilvl w:val="0"/>
          <w:numId w:val="4"/>
        </w:numPr>
        <w:rPr>
          <w:rStyle w:val="Accentuation"/>
          <w:i w:val="0"/>
        </w:rPr>
      </w:pPr>
      <w:r w:rsidRPr="00673DC6">
        <w:rPr>
          <w:rStyle w:val="Accentuation"/>
          <w:i w:val="0"/>
        </w:rPr>
        <w:t>Répartition du chiffre d’affaires par client,</w:t>
      </w:r>
    </w:p>
    <w:p w:rsidR="00692C20" w:rsidRPr="00673DC6" w:rsidRDefault="00692C20" w:rsidP="00673DC6">
      <w:pPr>
        <w:pStyle w:val="Paragraphedeliste"/>
        <w:numPr>
          <w:ilvl w:val="0"/>
          <w:numId w:val="4"/>
        </w:numPr>
        <w:rPr>
          <w:rStyle w:val="Accentuation"/>
          <w:i w:val="0"/>
        </w:rPr>
      </w:pPr>
      <w:r w:rsidRPr="00673DC6">
        <w:rPr>
          <w:rStyle w:val="Accentuation"/>
          <w:i w:val="0"/>
        </w:rPr>
        <w:t>Délai moyen par type de clients,</w:t>
      </w:r>
    </w:p>
    <w:p w:rsidR="00692C20" w:rsidRPr="00673DC6" w:rsidRDefault="00692C20" w:rsidP="00673DC6">
      <w:pPr>
        <w:pStyle w:val="Paragraphedeliste"/>
        <w:numPr>
          <w:ilvl w:val="0"/>
          <w:numId w:val="4"/>
        </w:numPr>
        <w:rPr>
          <w:rStyle w:val="Accentuation"/>
          <w:i w:val="0"/>
        </w:rPr>
      </w:pPr>
      <w:r w:rsidRPr="00673DC6">
        <w:rPr>
          <w:rStyle w:val="Accentuation"/>
          <w:i w:val="0"/>
        </w:rPr>
        <w:t>Encours moyen par type de clients,</w:t>
      </w:r>
    </w:p>
    <w:p w:rsidR="00692C20" w:rsidRPr="00673DC6" w:rsidRDefault="00692C20" w:rsidP="00673DC6">
      <w:pPr>
        <w:pStyle w:val="Paragraphedeliste"/>
        <w:numPr>
          <w:ilvl w:val="0"/>
          <w:numId w:val="4"/>
        </w:numPr>
        <w:rPr>
          <w:rStyle w:val="Accentuation"/>
          <w:i w:val="0"/>
        </w:rPr>
      </w:pPr>
      <w:r w:rsidRPr="00673DC6">
        <w:rPr>
          <w:rStyle w:val="Accentuation"/>
          <w:i w:val="0"/>
        </w:rPr>
        <w:t>...</w:t>
      </w:r>
    </w:p>
    <w:p w:rsidR="00171A7E" w:rsidRDefault="00171A7E"/>
    <w:p w:rsidR="00677DA5" w:rsidRPr="00A27A7F" w:rsidRDefault="00171A7E" w:rsidP="00A27A7F">
      <w:pPr>
        <w:pStyle w:val="Titre1"/>
        <w:keepNext/>
        <w:keepLines/>
        <w:numPr>
          <w:ilvl w:val="0"/>
          <w:numId w:val="10"/>
        </w:numPr>
        <w:shd w:val="clear" w:color="auto" w:fill="DBE5F1" w:themeFill="accent1" w:themeFillTint="33"/>
        <w:spacing w:before="120" w:beforeAutospacing="0" w:after="120" w:afterAutospacing="0"/>
        <w:rPr>
          <w:rFonts w:asciiTheme="minorHAnsi" w:eastAsiaTheme="majorEastAsia" w:hAnsiTheme="minorHAnsi" w:cstheme="majorBidi"/>
          <w:color w:val="1F497D" w:themeColor="text2"/>
          <w:kern w:val="0"/>
          <w:sz w:val="28"/>
          <w:szCs w:val="28"/>
          <w:u w:val="single"/>
          <w:lang w:eastAsia="en-US"/>
        </w:rPr>
      </w:pPr>
      <w:r>
        <w:rPr>
          <w:rFonts w:asciiTheme="minorHAnsi" w:eastAsiaTheme="majorEastAsia" w:hAnsiTheme="minorHAnsi" w:cstheme="majorBidi"/>
          <w:color w:val="1F497D" w:themeColor="text2"/>
          <w:kern w:val="0"/>
          <w:sz w:val="28"/>
          <w:szCs w:val="28"/>
          <w:u w:val="single"/>
          <w:lang w:eastAsia="en-US"/>
        </w:rPr>
        <w:t xml:space="preserve"> </w:t>
      </w:r>
      <w:r w:rsidR="00677DA5" w:rsidRPr="00A27A7F">
        <w:rPr>
          <w:rFonts w:asciiTheme="minorHAnsi" w:eastAsiaTheme="majorEastAsia" w:hAnsiTheme="minorHAnsi" w:cstheme="majorBidi"/>
          <w:color w:val="1F497D" w:themeColor="text2"/>
          <w:kern w:val="0"/>
          <w:sz w:val="28"/>
          <w:szCs w:val="28"/>
          <w:u w:val="single"/>
          <w:lang w:eastAsia="en-US"/>
        </w:rPr>
        <w:t>Un portefeuille clients, ça se travaille !</w:t>
      </w:r>
    </w:p>
    <w:p w:rsidR="00D638EA" w:rsidRDefault="00D638EA" w:rsidP="00677DA5">
      <w:pPr>
        <w:ind w:right="0"/>
        <w:jc w:val="both"/>
        <w:rPr>
          <w:rFonts w:eastAsia="Times New Roman" w:cs="Times New Roman"/>
          <w:sz w:val="20"/>
          <w:szCs w:val="20"/>
          <w:lang w:eastAsia="fr-FR"/>
        </w:rPr>
      </w:pPr>
    </w:p>
    <w:p w:rsidR="00677DA5" w:rsidRDefault="001D4AFD" w:rsidP="00677DA5">
      <w:pPr>
        <w:ind w:right="0"/>
        <w:jc w:val="both"/>
        <w:rPr>
          <w:rFonts w:eastAsia="Times New Roman" w:cs="Times New Roman"/>
          <w:sz w:val="20"/>
          <w:szCs w:val="20"/>
          <w:lang w:eastAsia="fr-FR"/>
        </w:rPr>
      </w:pPr>
      <w:hyperlink r:id="rId9" w:history="1">
        <w:r w:rsidR="00677DA5" w:rsidRPr="00677DA5">
          <w:rPr>
            <w:rStyle w:val="Lienhypertexte"/>
            <w:rFonts w:eastAsia="Times New Roman" w:cs="Times New Roman"/>
            <w:sz w:val="20"/>
            <w:szCs w:val="20"/>
            <w:lang w:eastAsia="fr-FR"/>
          </w:rPr>
          <w:t>http://lentreprise.lexpress.fr/marketing-vente/relation-client-entreprise/un-portefeuille-clients-ca-se-travaille_1509042.html</w:t>
        </w:r>
      </w:hyperlink>
    </w:p>
    <w:p w:rsidR="00677DA5" w:rsidRDefault="00677DA5" w:rsidP="00677DA5">
      <w:pPr>
        <w:ind w:right="0"/>
        <w:jc w:val="both"/>
        <w:rPr>
          <w:rFonts w:eastAsia="Times New Roman" w:cs="Times New Roman"/>
          <w:sz w:val="20"/>
          <w:szCs w:val="20"/>
          <w:lang w:eastAsia="fr-FR"/>
        </w:rPr>
      </w:pPr>
    </w:p>
    <w:p w:rsidR="00677DA5" w:rsidRDefault="00B43388" w:rsidP="00F95ECA">
      <w:pPr>
        <w:pStyle w:val="Titre1"/>
        <w:keepNext/>
        <w:keepLines/>
        <w:numPr>
          <w:ilvl w:val="0"/>
          <w:numId w:val="10"/>
        </w:numPr>
        <w:shd w:val="clear" w:color="auto" w:fill="DBE5F1" w:themeFill="accent1" w:themeFillTint="33"/>
        <w:spacing w:before="120" w:beforeAutospacing="0" w:after="120" w:afterAutospacing="0"/>
        <w:rPr>
          <w:rFonts w:asciiTheme="minorHAnsi" w:eastAsiaTheme="majorEastAsia" w:hAnsiTheme="minorHAnsi" w:cstheme="majorBidi"/>
          <w:color w:val="1F497D" w:themeColor="text2"/>
          <w:kern w:val="0"/>
          <w:sz w:val="28"/>
          <w:szCs w:val="28"/>
          <w:u w:val="single"/>
          <w:lang w:eastAsia="en-US"/>
        </w:rPr>
      </w:pPr>
      <w:r>
        <w:rPr>
          <w:rFonts w:asciiTheme="minorHAnsi" w:eastAsiaTheme="majorEastAsia" w:hAnsiTheme="minorHAnsi" w:cstheme="majorBidi"/>
          <w:color w:val="1F497D" w:themeColor="text2"/>
          <w:kern w:val="0"/>
          <w:sz w:val="28"/>
          <w:szCs w:val="28"/>
          <w:u w:val="single"/>
          <w:lang w:eastAsia="en-US"/>
        </w:rPr>
        <w:t xml:space="preserve"> </w:t>
      </w:r>
      <w:r w:rsidR="00F95ECA" w:rsidRPr="00F95ECA">
        <w:rPr>
          <w:rFonts w:asciiTheme="minorHAnsi" w:eastAsiaTheme="majorEastAsia" w:hAnsiTheme="minorHAnsi" w:cstheme="majorBidi"/>
          <w:color w:val="1F497D" w:themeColor="text2"/>
          <w:kern w:val="0"/>
          <w:sz w:val="28"/>
          <w:szCs w:val="28"/>
          <w:u w:val="single"/>
          <w:lang w:eastAsia="en-US"/>
        </w:rPr>
        <w:t xml:space="preserve">Exemples </w:t>
      </w:r>
      <w:r w:rsidR="00F95ECA">
        <w:rPr>
          <w:rFonts w:asciiTheme="minorHAnsi" w:eastAsiaTheme="majorEastAsia" w:hAnsiTheme="minorHAnsi" w:cstheme="majorBidi"/>
          <w:color w:val="1F497D" w:themeColor="text2"/>
          <w:kern w:val="0"/>
          <w:sz w:val="28"/>
          <w:szCs w:val="28"/>
          <w:u w:val="single"/>
          <w:lang w:eastAsia="en-US"/>
        </w:rPr>
        <w:t>de calculs statistiques et d</w:t>
      </w:r>
      <w:r w:rsidR="00F95ECA" w:rsidRPr="00F95ECA">
        <w:rPr>
          <w:rFonts w:asciiTheme="minorHAnsi" w:eastAsiaTheme="majorEastAsia" w:hAnsiTheme="minorHAnsi" w:cstheme="majorBidi"/>
          <w:color w:val="1F497D" w:themeColor="text2"/>
          <w:kern w:val="0"/>
          <w:sz w:val="28"/>
          <w:szCs w:val="28"/>
          <w:u w:val="single"/>
          <w:lang w:eastAsia="en-US"/>
        </w:rPr>
        <w:t xml:space="preserve">'indicateurs </w:t>
      </w:r>
      <w:r w:rsidR="00892D89">
        <w:rPr>
          <w:rFonts w:asciiTheme="minorHAnsi" w:eastAsiaTheme="majorEastAsia" w:hAnsiTheme="minorHAnsi" w:cstheme="majorBidi"/>
          <w:color w:val="1F497D" w:themeColor="text2"/>
          <w:kern w:val="0"/>
          <w:sz w:val="28"/>
          <w:szCs w:val="28"/>
          <w:u w:val="single"/>
          <w:lang w:eastAsia="en-US"/>
        </w:rPr>
        <w:t>du portefeuille client</w:t>
      </w:r>
    </w:p>
    <w:p w:rsidR="00892D89" w:rsidRDefault="00892D89" w:rsidP="00B83EA2">
      <w:pPr>
        <w:jc w:val="both"/>
      </w:pPr>
      <w:r>
        <w:t xml:space="preserve">Les deux méthodes ci-dessous permettent de concentrer l'action </w:t>
      </w:r>
      <w:r w:rsidR="00CE05FE">
        <w:t xml:space="preserve">de vigilance </w:t>
      </w:r>
      <w:r>
        <w:t>sur les clients les plus importants</w:t>
      </w:r>
      <w:r w:rsidR="00CE05FE">
        <w:t xml:space="preserve"> (groupe 1 pour la méthode 20/80 et groupe A pour la méthode ABC)</w:t>
      </w:r>
      <w:r w:rsidR="00B83EA2">
        <w:t>.</w:t>
      </w:r>
    </w:p>
    <w:p w:rsidR="00F95ECA" w:rsidRPr="002F59BE" w:rsidRDefault="00F95ECA" w:rsidP="00F95ECA">
      <w:pPr>
        <w:pStyle w:val="Titre2"/>
        <w:rPr>
          <w:rFonts w:eastAsia="Calibri"/>
        </w:rPr>
      </w:pPr>
      <w:r w:rsidRPr="002F59BE">
        <w:rPr>
          <w:rFonts w:eastAsia="Calibri"/>
        </w:rPr>
        <w:t>La méthode 20/80</w:t>
      </w:r>
      <w:bookmarkStart w:id="0" w:name="_GoBack"/>
      <w:bookmarkEnd w:id="0"/>
    </w:p>
    <w:p w:rsidR="00F95ECA" w:rsidRDefault="00F95ECA" w:rsidP="00F95ECA">
      <w:pPr>
        <w:jc w:val="both"/>
        <w:rPr>
          <w:rFonts w:ascii="Calibri" w:eastAsia="Calibri" w:hAnsi="Calibri" w:cs="Times New Roman"/>
        </w:rPr>
      </w:pPr>
      <w:r>
        <w:rPr>
          <w:rFonts w:ascii="Calibri" w:eastAsia="Calibri" w:hAnsi="Calibri" w:cs="Times New Roman"/>
        </w:rPr>
        <w:t xml:space="preserve">Cette segmentation appelée également loi de PARETO a été initiée par </w:t>
      </w:r>
      <w:proofErr w:type="spellStart"/>
      <w:r>
        <w:rPr>
          <w:rFonts w:ascii="Calibri" w:eastAsia="Calibri" w:hAnsi="Calibri" w:cs="Times New Roman"/>
        </w:rPr>
        <w:t>Vilfredo</w:t>
      </w:r>
      <w:proofErr w:type="spellEnd"/>
      <w:r>
        <w:rPr>
          <w:rFonts w:ascii="Calibri" w:eastAsia="Calibri" w:hAnsi="Calibri" w:cs="Times New Roman"/>
        </w:rPr>
        <w:t xml:space="preserve"> PARETO, économiste italien, qui a constaté au cours de ses observations que 20 % des causes produisent des conséquences. Ce principe est utilisé en économie, en gestion des stocks (où 20 % des produits réalisent 80 % du CA) et en mercatique pour la gestion des clients, puisque 20 % des clients font 80 % du CA.</w:t>
      </w:r>
    </w:p>
    <w:p w:rsidR="00B83EA2" w:rsidRDefault="00B83EA2" w:rsidP="00F95ECA">
      <w:pPr>
        <w:jc w:val="both"/>
        <w:rPr>
          <w:rFonts w:ascii="Calibri" w:eastAsia="Calibri" w:hAnsi="Calibri" w:cs="Times New Roman"/>
        </w:rPr>
      </w:pPr>
    </w:p>
    <w:p w:rsidR="00F95ECA" w:rsidRDefault="00F95ECA" w:rsidP="00F95ECA">
      <w:pPr>
        <w:jc w:val="both"/>
        <w:rPr>
          <w:rFonts w:ascii="Calibri" w:eastAsia="Calibri" w:hAnsi="Calibri" w:cs="Times New Roman"/>
        </w:rPr>
      </w:pPr>
      <w:r>
        <w:rPr>
          <w:rFonts w:ascii="Calibri" w:eastAsia="Calibri" w:hAnsi="Calibri" w:cs="Times New Roman"/>
        </w:rPr>
        <w:t>Cette loi appliquée au portefeuille client, fait apparaître deux groupes de clients :</w:t>
      </w:r>
    </w:p>
    <w:p w:rsidR="00F95ECA" w:rsidRPr="00F95ECA" w:rsidRDefault="00F95ECA" w:rsidP="00F95ECA">
      <w:pPr>
        <w:pStyle w:val="Paragraphedeliste"/>
        <w:numPr>
          <w:ilvl w:val="0"/>
          <w:numId w:val="13"/>
        </w:numPr>
        <w:jc w:val="both"/>
        <w:rPr>
          <w:rFonts w:ascii="Calibri" w:eastAsia="Calibri" w:hAnsi="Calibri" w:cs="Times New Roman"/>
          <w:b/>
        </w:rPr>
      </w:pPr>
      <w:r w:rsidRPr="00F95ECA">
        <w:rPr>
          <w:rFonts w:ascii="Calibri" w:eastAsia="Calibri" w:hAnsi="Calibri" w:cs="Times New Roman"/>
          <w:b/>
        </w:rPr>
        <w:t>Groupe 1 : 20 % des clients représentent 80 % du CA, ou grands comptes</w:t>
      </w:r>
    </w:p>
    <w:p w:rsidR="00F95ECA" w:rsidRPr="00F95ECA" w:rsidRDefault="00F95ECA" w:rsidP="00F95ECA">
      <w:pPr>
        <w:pStyle w:val="Paragraphedeliste"/>
        <w:numPr>
          <w:ilvl w:val="0"/>
          <w:numId w:val="13"/>
        </w:numPr>
        <w:jc w:val="both"/>
        <w:rPr>
          <w:rFonts w:ascii="Calibri" w:eastAsia="Calibri" w:hAnsi="Calibri" w:cs="Times New Roman"/>
          <w:b/>
        </w:rPr>
      </w:pPr>
      <w:r w:rsidRPr="00F95ECA">
        <w:rPr>
          <w:rFonts w:ascii="Calibri" w:eastAsia="Calibri" w:hAnsi="Calibri" w:cs="Times New Roman"/>
          <w:b/>
        </w:rPr>
        <w:t>Groupe 2 : 80 % des clients représentent 20 % du CA, ou petits comptes.</w:t>
      </w:r>
    </w:p>
    <w:p w:rsidR="00F95ECA" w:rsidRDefault="00F95ECA" w:rsidP="00F95ECA">
      <w:pPr>
        <w:jc w:val="both"/>
        <w:rPr>
          <w:rFonts w:ascii="Calibri" w:eastAsia="Calibri" w:hAnsi="Calibri" w:cs="Times New Roman"/>
        </w:rPr>
      </w:pPr>
    </w:p>
    <w:p w:rsidR="00F95ECA" w:rsidRPr="002F59BE" w:rsidRDefault="00F95ECA" w:rsidP="00F95ECA">
      <w:pPr>
        <w:jc w:val="both"/>
        <w:rPr>
          <w:rFonts w:ascii="Calibri" w:eastAsia="Calibri" w:hAnsi="Calibri" w:cs="Times New Roman"/>
          <w:u w:val="single"/>
        </w:rPr>
      </w:pPr>
      <w:r w:rsidRPr="002F59BE">
        <w:rPr>
          <w:rFonts w:ascii="Calibri" w:eastAsia="Calibri" w:hAnsi="Calibri" w:cs="Times New Roman"/>
          <w:u w:val="single"/>
        </w:rPr>
        <w:t xml:space="preserve">Méthode : </w:t>
      </w:r>
    </w:p>
    <w:p w:rsidR="00F95ECA" w:rsidRDefault="00F95ECA" w:rsidP="00F95ECA">
      <w:pPr>
        <w:jc w:val="both"/>
        <w:rPr>
          <w:rFonts w:ascii="Calibri" w:eastAsia="Calibri" w:hAnsi="Calibri" w:cs="Times New Roman"/>
        </w:rPr>
      </w:pPr>
      <w:r>
        <w:rPr>
          <w:rFonts w:ascii="Calibri" w:eastAsia="Calibri" w:hAnsi="Calibri" w:cs="Times New Roman"/>
        </w:rPr>
        <w:t>Construire un tableau dans lequel les clients sont classés par importance du CA.</w:t>
      </w:r>
    </w:p>
    <w:p w:rsidR="00B83EA2" w:rsidRDefault="00B83EA2" w:rsidP="00F95ECA">
      <w:pPr>
        <w:jc w:val="both"/>
        <w:rPr>
          <w:rFonts w:ascii="Calibri" w:eastAsia="Calibri" w:hAnsi="Calibri" w:cs="Times New Roman"/>
        </w:rPr>
      </w:pPr>
    </w:p>
    <w:tbl>
      <w:tblPr>
        <w:tblStyle w:val="Grilledutableau"/>
        <w:tblW w:w="0" w:type="auto"/>
        <w:jc w:val="center"/>
        <w:tblLook w:val="01E0"/>
      </w:tblPr>
      <w:tblGrid>
        <w:gridCol w:w="1535"/>
        <w:gridCol w:w="1535"/>
        <w:gridCol w:w="1535"/>
        <w:gridCol w:w="1535"/>
        <w:gridCol w:w="1536"/>
        <w:gridCol w:w="1536"/>
      </w:tblGrid>
      <w:tr w:rsidR="00F95ECA" w:rsidTr="00B83EA2">
        <w:trPr>
          <w:jc w:val="center"/>
        </w:trPr>
        <w:tc>
          <w:tcPr>
            <w:tcW w:w="1535" w:type="dxa"/>
            <w:vAlign w:val="center"/>
          </w:tcPr>
          <w:p w:rsidR="00F95ECA" w:rsidRDefault="00F95ECA" w:rsidP="00B83EA2">
            <w:pPr>
              <w:jc w:val="center"/>
            </w:pPr>
            <w:r>
              <w:t>Client</w:t>
            </w:r>
          </w:p>
        </w:tc>
        <w:tc>
          <w:tcPr>
            <w:tcW w:w="1535" w:type="dxa"/>
            <w:vAlign w:val="center"/>
          </w:tcPr>
          <w:p w:rsidR="00F95ECA" w:rsidRDefault="00F95ECA" w:rsidP="00B83EA2">
            <w:pPr>
              <w:jc w:val="center"/>
            </w:pPr>
            <w:r>
              <w:t>CA</w:t>
            </w:r>
          </w:p>
        </w:tc>
        <w:tc>
          <w:tcPr>
            <w:tcW w:w="1535" w:type="dxa"/>
            <w:vAlign w:val="center"/>
          </w:tcPr>
          <w:p w:rsidR="00F95ECA" w:rsidRDefault="00F95ECA" w:rsidP="00B83EA2">
            <w:pPr>
              <w:jc w:val="center"/>
            </w:pPr>
            <w:r>
              <w:t>% CA</w:t>
            </w:r>
          </w:p>
        </w:tc>
        <w:tc>
          <w:tcPr>
            <w:tcW w:w="1535" w:type="dxa"/>
            <w:vAlign w:val="center"/>
          </w:tcPr>
          <w:p w:rsidR="00F95ECA" w:rsidRDefault="00F95ECA" w:rsidP="00B83EA2">
            <w:pPr>
              <w:jc w:val="center"/>
            </w:pPr>
            <w:r>
              <w:t>% cumulé CA</w:t>
            </w:r>
          </w:p>
        </w:tc>
        <w:tc>
          <w:tcPr>
            <w:tcW w:w="1536" w:type="dxa"/>
            <w:vAlign w:val="center"/>
          </w:tcPr>
          <w:p w:rsidR="00F95ECA" w:rsidRDefault="00F95ECA" w:rsidP="00B83EA2">
            <w:pPr>
              <w:jc w:val="center"/>
            </w:pPr>
            <w:r>
              <w:t>Part des clients en %</w:t>
            </w:r>
          </w:p>
        </w:tc>
        <w:tc>
          <w:tcPr>
            <w:tcW w:w="1536" w:type="dxa"/>
            <w:vAlign w:val="center"/>
          </w:tcPr>
          <w:p w:rsidR="00F95ECA" w:rsidRDefault="00F95ECA" w:rsidP="00B83EA2">
            <w:pPr>
              <w:jc w:val="center"/>
            </w:pPr>
            <w:r>
              <w:t>Part cumulée des clients en %</w:t>
            </w:r>
          </w:p>
        </w:tc>
      </w:tr>
      <w:tr w:rsidR="00F95ECA" w:rsidTr="00B83EA2">
        <w:trPr>
          <w:jc w:val="center"/>
        </w:trPr>
        <w:tc>
          <w:tcPr>
            <w:tcW w:w="1535" w:type="dxa"/>
            <w:vAlign w:val="center"/>
          </w:tcPr>
          <w:p w:rsidR="00F95ECA" w:rsidRDefault="00F95ECA" w:rsidP="00B83EA2">
            <w:pPr>
              <w:jc w:val="center"/>
            </w:pPr>
          </w:p>
        </w:tc>
        <w:tc>
          <w:tcPr>
            <w:tcW w:w="1535" w:type="dxa"/>
            <w:vAlign w:val="center"/>
          </w:tcPr>
          <w:p w:rsidR="00F95ECA" w:rsidRDefault="00F95ECA" w:rsidP="00B83EA2">
            <w:pPr>
              <w:jc w:val="center"/>
            </w:pPr>
          </w:p>
        </w:tc>
        <w:tc>
          <w:tcPr>
            <w:tcW w:w="1535" w:type="dxa"/>
            <w:vAlign w:val="center"/>
          </w:tcPr>
          <w:p w:rsidR="00F95ECA" w:rsidRDefault="00F95ECA" w:rsidP="00B83EA2">
            <w:pPr>
              <w:jc w:val="center"/>
            </w:pPr>
          </w:p>
        </w:tc>
        <w:tc>
          <w:tcPr>
            <w:tcW w:w="1535" w:type="dxa"/>
            <w:vAlign w:val="center"/>
          </w:tcPr>
          <w:p w:rsidR="00F95ECA" w:rsidRDefault="00F95ECA" w:rsidP="00B83EA2">
            <w:pPr>
              <w:jc w:val="center"/>
            </w:pPr>
          </w:p>
        </w:tc>
        <w:tc>
          <w:tcPr>
            <w:tcW w:w="1536" w:type="dxa"/>
            <w:vAlign w:val="center"/>
          </w:tcPr>
          <w:p w:rsidR="00F95ECA" w:rsidRDefault="00F95ECA" w:rsidP="00B83EA2">
            <w:pPr>
              <w:jc w:val="center"/>
            </w:pPr>
          </w:p>
        </w:tc>
        <w:tc>
          <w:tcPr>
            <w:tcW w:w="1536" w:type="dxa"/>
            <w:vAlign w:val="center"/>
          </w:tcPr>
          <w:p w:rsidR="00F95ECA" w:rsidRDefault="00F95ECA" w:rsidP="00B83EA2">
            <w:pPr>
              <w:jc w:val="center"/>
            </w:pPr>
          </w:p>
        </w:tc>
      </w:tr>
    </w:tbl>
    <w:p w:rsidR="00B83EA2" w:rsidRDefault="00B83EA2" w:rsidP="00F95ECA">
      <w:pPr>
        <w:rPr>
          <w:rFonts w:ascii="Calibri" w:eastAsia="Calibri" w:hAnsi="Calibri" w:cs="Times New Roman"/>
        </w:rPr>
      </w:pPr>
    </w:p>
    <w:p w:rsidR="00F95ECA" w:rsidRDefault="00F95ECA" w:rsidP="00F95ECA">
      <w:pPr>
        <w:rPr>
          <w:rFonts w:ascii="Calibri" w:eastAsia="Calibri" w:hAnsi="Calibri" w:cs="Times New Roman"/>
        </w:rPr>
      </w:pPr>
      <w:r>
        <w:rPr>
          <w:rFonts w:ascii="Calibri" w:eastAsia="Calibri" w:hAnsi="Calibri" w:cs="Times New Roman"/>
        </w:rPr>
        <w:t>On fait ensuite une représentation graphique des %cumulés de CA en fonction du %Cumulés de Clients.</w:t>
      </w:r>
    </w:p>
    <w:p w:rsidR="00F95ECA" w:rsidRDefault="00F95ECA" w:rsidP="00F95ECA">
      <w:pPr>
        <w:rPr>
          <w:rFonts w:ascii="Calibri" w:eastAsia="Calibri" w:hAnsi="Calibri" w:cs="Times New Roman"/>
        </w:rPr>
      </w:pPr>
    </w:p>
    <w:p w:rsidR="00F95ECA" w:rsidRPr="00F95ECA" w:rsidRDefault="00F95ECA" w:rsidP="00F95ECA">
      <w:pPr>
        <w:pStyle w:val="Titre2"/>
        <w:rPr>
          <w:rFonts w:eastAsia="Calibri"/>
        </w:rPr>
      </w:pPr>
      <w:r w:rsidRPr="00F95ECA">
        <w:rPr>
          <w:rFonts w:eastAsia="Calibri"/>
        </w:rPr>
        <w:t>La méthode ABC</w:t>
      </w:r>
    </w:p>
    <w:p w:rsidR="00F95ECA" w:rsidRDefault="00F95ECA" w:rsidP="00F95ECA">
      <w:pPr>
        <w:jc w:val="both"/>
        <w:rPr>
          <w:rFonts w:ascii="Calibri" w:eastAsia="Calibri" w:hAnsi="Calibri" w:cs="Times New Roman"/>
        </w:rPr>
      </w:pPr>
      <w:r>
        <w:rPr>
          <w:rFonts w:ascii="Calibri" w:eastAsia="Calibri" w:hAnsi="Calibri" w:cs="Times New Roman"/>
        </w:rPr>
        <w:t>Cette méthode affine la loi PARETO (règle des 20/80) en proposant trois groupes : A B C de la manière suivante :</w:t>
      </w:r>
    </w:p>
    <w:p w:rsidR="00F95ECA" w:rsidRPr="00F95ECA" w:rsidRDefault="00F95ECA" w:rsidP="00F95ECA">
      <w:pPr>
        <w:pStyle w:val="Paragraphedeliste"/>
        <w:numPr>
          <w:ilvl w:val="0"/>
          <w:numId w:val="13"/>
        </w:numPr>
        <w:jc w:val="both"/>
        <w:rPr>
          <w:rFonts w:ascii="Calibri" w:eastAsia="Calibri" w:hAnsi="Calibri" w:cs="Times New Roman"/>
          <w:b/>
        </w:rPr>
      </w:pPr>
      <w:r w:rsidRPr="00F95ECA">
        <w:rPr>
          <w:rFonts w:ascii="Calibri" w:eastAsia="Calibri" w:hAnsi="Calibri" w:cs="Times New Roman"/>
          <w:b/>
        </w:rPr>
        <w:t>Groupe A : 20 % des clients représentent 80 % du CA</w:t>
      </w:r>
      <w:r w:rsidR="00C81EB9">
        <w:rPr>
          <w:rFonts w:ascii="Calibri" w:eastAsia="Calibri" w:hAnsi="Calibri" w:cs="Times New Roman"/>
          <w:b/>
        </w:rPr>
        <w:t> ;</w:t>
      </w:r>
    </w:p>
    <w:p w:rsidR="00F95ECA" w:rsidRPr="00F95ECA" w:rsidRDefault="00F95ECA" w:rsidP="00F95ECA">
      <w:pPr>
        <w:pStyle w:val="Paragraphedeliste"/>
        <w:numPr>
          <w:ilvl w:val="0"/>
          <w:numId w:val="13"/>
        </w:numPr>
        <w:jc w:val="both"/>
        <w:rPr>
          <w:rFonts w:ascii="Calibri" w:eastAsia="Calibri" w:hAnsi="Calibri" w:cs="Times New Roman"/>
          <w:b/>
        </w:rPr>
      </w:pPr>
      <w:r w:rsidRPr="00F95ECA">
        <w:rPr>
          <w:rFonts w:ascii="Calibri" w:eastAsia="Calibri" w:hAnsi="Calibri" w:cs="Times New Roman"/>
          <w:b/>
        </w:rPr>
        <w:t>Groupe B : 30 % des clients représentent 15 % du CA</w:t>
      </w:r>
      <w:r w:rsidR="00C81EB9">
        <w:rPr>
          <w:rFonts w:ascii="Calibri" w:eastAsia="Calibri" w:hAnsi="Calibri" w:cs="Times New Roman"/>
          <w:b/>
        </w:rPr>
        <w:t> ;</w:t>
      </w:r>
    </w:p>
    <w:p w:rsidR="00F95ECA" w:rsidRPr="00F95ECA" w:rsidRDefault="00F95ECA" w:rsidP="00F95ECA">
      <w:pPr>
        <w:pStyle w:val="Paragraphedeliste"/>
        <w:numPr>
          <w:ilvl w:val="0"/>
          <w:numId w:val="13"/>
        </w:numPr>
        <w:jc w:val="both"/>
        <w:rPr>
          <w:rFonts w:ascii="Calibri" w:eastAsia="Calibri" w:hAnsi="Calibri" w:cs="Times New Roman"/>
          <w:b/>
        </w:rPr>
      </w:pPr>
      <w:r w:rsidRPr="00F95ECA">
        <w:rPr>
          <w:rFonts w:ascii="Calibri" w:eastAsia="Calibri" w:hAnsi="Calibri" w:cs="Times New Roman"/>
          <w:b/>
        </w:rPr>
        <w:t>Groupe C : 50 % des</w:t>
      </w:r>
      <w:r w:rsidR="00C81EB9">
        <w:rPr>
          <w:rFonts w:ascii="Calibri" w:eastAsia="Calibri" w:hAnsi="Calibri" w:cs="Times New Roman"/>
          <w:b/>
        </w:rPr>
        <w:t xml:space="preserve"> clients représentent 5 % du CA.</w:t>
      </w:r>
    </w:p>
    <w:p w:rsidR="00F95ECA" w:rsidRDefault="00F95ECA" w:rsidP="00F95ECA">
      <w:pPr>
        <w:rPr>
          <w:rFonts w:ascii="Calibri" w:eastAsia="Calibri" w:hAnsi="Calibri" w:cs="Times New Roman"/>
        </w:rPr>
      </w:pPr>
    </w:p>
    <w:p w:rsidR="00F95ECA" w:rsidRPr="00860D9B" w:rsidRDefault="00F95ECA" w:rsidP="00F95ECA">
      <w:pPr>
        <w:jc w:val="both"/>
        <w:rPr>
          <w:rFonts w:ascii="Calibri" w:eastAsia="Calibri" w:hAnsi="Calibri" w:cs="Times New Roman"/>
          <w:u w:val="single"/>
        </w:rPr>
      </w:pPr>
      <w:r w:rsidRPr="00860D9B">
        <w:rPr>
          <w:rFonts w:ascii="Calibri" w:eastAsia="Calibri" w:hAnsi="Calibri" w:cs="Times New Roman"/>
          <w:u w:val="single"/>
        </w:rPr>
        <w:t>Méthode :</w:t>
      </w:r>
    </w:p>
    <w:p w:rsidR="00F95ECA" w:rsidRDefault="00F95ECA" w:rsidP="00F95ECA">
      <w:pPr>
        <w:jc w:val="both"/>
        <w:rPr>
          <w:rFonts w:ascii="Calibri" w:eastAsia="Calibri" w:hAnsi="Calibri" w:cs="Times New Roman"/>
        </w:rPr>
      </w:pPr>
      <w:r>
        <w:rPr>
          <w:rFonts w:ascii="Calibri" w:eastAsia="Calibri" w:hAnsi="Calibri" w:cs="Times New Roman"/>
        </w:rPr>
        <w:t>Construction selon le même procédé que pour la méthode 20/80.</w:t>
      </w:r>
    </w:p>
    <w:p w:rsidR="00F95ECA" w:rsidRDefault="00F95ECA" w:rsidP="00F95ECA"/>
    <w:p w:rsidR="00F95ECA" w:rsidRPr="00F95ECA" w:rsidRDefault="00F95ECA" w:rsidP="00F95ECA">
      <w:pPr>
        <w:rPr>
          <w:b/>
          <w:i/>
        </w:rPr>
      </w:pPr>
      <w:r w:rsidRPr="00F95ECA">
        <w:rPr>
          <w:b/>
          <w:i/>
        </w:rPr>
        <w:t>NOTA BENE : votre PGI, parmi ses fonctionnalités, propose peut être cette analyse.</w:t>
      </w:r>
    </w:p>
    <w:p w:rsidR="00F95ECA" w:rsidRPr="00F95ECA" w:rsidRDefault="00F95ECA" w:rsidP="00F95ECA"/>
    <w:sectPr w:rsidR="00F95ECA" w:rsidRPr="00F95ECA" w:rsidSect="004F7B78">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816661"/>
    <w:multiLevelType w:val="hybridMultilevel"/>
    <w:tmpl w:val="08DA0D68"/>
    <w:lvl w:ilvl="0" w:tplc="6A5E19C8">
      <w:start w:val="1"/>
      <w:numFmt w:val="decimal"/>
      <w:lvlText w:val="%1 –"/>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8036AE1"/>
    <w:multiLevelType w:val="hybridMultilevel"/>
    <w:tmpl w:val="17601CC8"/>
    <w:lvl w:ilvl="0" w:tplc="6A5E19C8">
      <w:start w:val="1"/>
      <w:numFmt w:val="decimal"/>
      <w:lvlText w:val="%1 –"/>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35FB175F"/>
    <w:multiLevelType w:val="hybridMultilevel"/>
    <w:tmpl w:val="AAF027F2"/>
    <w:lvl w:ilvl="0" w:tplc="6A5E19C8">
      <w:start w:val="1"/>
      <w:numFmt w:val="decimal"/>
      <w:lvlText w:val="%1 –"/>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4AB53AF4"/>
    <w:multiLevelType w:val="hybridMultilevel"/>
    <w:tmpl w:val="793204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4AC22941"/>
    <w:multiLevelType w:val="hybridMultilevel"/>
    <w:tmpl w:val="C036702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6D0E0119"/>
    <w:multiLevelType w:val="hybridMultilevel"/>
    <w:tmpl w:val="2DCE9A96"/>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6">
    <w:nsid w:val="74257ED5"/>
    <w:multiLevelType w:val="hybridMultilevel"/>
    <w:tmpl w:val="2A2E708C"/>
    <w:lvl w:ilvl="0" w:tplc="441C42D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7B456C30"/>
    <w:multiLevelType w:val="multilevel"/>
    <w:tmpl w:val="5CD02BFE"/>
    <w:lvl w:ilvl="0">
      <w:start w:val="1"/>
      <w:numFmt w:val="decimal"/>
      <w:pStyle w:val="Titre1"/>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7"/>
  </w:num>
  <w:num w:numId="2">
    <w:abstractNumId w:val="7"/>
  </w:num>
  <w:num w:numId="3">
    <w:abstractNumId w:val="7"/>
  </w:num>
  <w:num w:numId="4">
    <w:abstractNumId w:val="0"/>
  </w:num>
  <w:num w:numId="5">
    <w:abstractNumId w:val="4"/>
  </w:num>
  <w:num w:numId="6">
    <w:abstractNumId w:val="6"/>
  </w:num>
  <w:num w:numId="7">
    <w:abstractNumId w:val="7"/>
  </w:num>
  <w:num w:numId="8">
    <w:abstractNumId w:val="7"/>
  </w:num>
  <w:num w:numId="9">
    <w:abstractNumId w:val="7"/>
  </w:num>
  <w:num w:numId="10">
    <w:abstractNumId w:val="1"/>
  </w:num>
  <w:num w:numId="11">
    <w:abstractNumId w:val="7"/>
  </w:num>
  <w:num w:numId="12">
    <w:abstractNumId w:val="5"/>
  </w:num>
  <w:num w:numId="13">
    <w:abstractNumId w:val="3"/>
  </w:num>
  <w:num w:numId="14">
    <w:abstractNumId w:val="2"/>
  </w:num>
  <w:num w:numId="15">
    <w:abstractNumId w:val="7"/>
  </w:num>
  <w:num w:numId="16">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677DA5"/>
    <w:rsid w:val="00123FC0"/>
    <w:rsid w:val="00142782"/>
    <w:rsid w:val="00171A7E"/>
    <w:rsid w:val="001D4AFD"/>
    <w:rsid w:val="00216BBE"/>
    <w:rsid w:val="00235F13"/>
    <w:rsid w:val="00253E0F"/>
    <w:rsid w:val="002C0ECF"/>
    <w:rsid w:val="003027A0"/>
    <w:rsid w:val="00335177"/>
    <w:rsid w:val="00382142"/>
    <w:rsid w:val="004106AF"/>
    <w:rsid w:val="004F7B78"/>
    <w:rsid w:val="006522D9"/>
    <w:rsid w:val="00673DC6"/>
    <w:rsid w:val="00677DA5"/>
    <w:rsid w:val="00692C20"/>
    <w:rsid w:val="007A1BFB"/>
    <w:rsid w:val="00892D89"/>
    <w:rsid w:val="009C64B1"/>
    <w:rsid w:val="00A119C1"/>
    <w:rsid w:val="00A27A7F"/>
    <w:rsid w:val="00A35095"/>
    <w:rsid w:val="00B43388"/>
    <w:rsid w:val="00B83EA2"/>
    <w:rsid w:val="00BD1C64"/>
    <w:rsid w:val="00C00EEC"/>
    <w:rsid w:val="00C81EB9"/>
    <w:rsid w:val="00CE05FE"/>
    <w:rsid w:val="00CE4CF6"/>
    <w:rsid w:val="00D638EA"/>
    <w:rsid w:val="00D84253"/>
    <w:rsid w:val="00DB6AE9"/>
    <w:rsid w:val="00EA0132"/>
    <w:rsid w:val="00EB2720"/>
    <w:rsid w:val="00EE6263"/>
    <w:rsid w:val="00F95ECA"/>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ind w:right="-5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5095"/>
  </w:style>
  <w:style w:type="paragraph" w:styleId="Titre1">
    <w:name w:val="heading 1"/>
    <w:basedOn w:val="Normal"/>
    <w:link w:val="Titre1Car"/>
    <w:uiPriority w:val="9"/>
    <w:qFormat/>
    <w:rsid w:val="00677DA5"/>
    <w:pPr>
      <w:numPr>
        <w:numId w:val="1"/>
      </w:numPr>
      <w:spacing w:before="100" w:beforeAutospacing="1" w:after="100" w:afterAutospacing="1"/>
      <w:ind w:right="0"/>
      <w:outlineLvl w:val="0"/>
    </w:pPr>
    <w:rPr>
      <w:rFonts w:ascii="Times New Roman" w:eastAsia="Times New Roman" w:hAnsi="Times New Roman" w:cs="Times New Roman"/>
      <w:b/>
      <w:bCs/>
      <w:kern w:val="36"/>
      <w:sz w:val="48"/>
      <w:szCs w:val="48"/>
      <w:lang w:eastAsia="fr-FR"/>
    </w:rPr>
  </w:style>
  <w:style w:type="paragraph" w:styleId="Titre2">
    <w:name w:val="heading 2"/>
    <w:basedOn w:val="Normal"/>
    <w:next w:val="Normal"/>
    <w:link w:val="Titre2Car"/>
    <w:uiPriority w:val="9"/>
    <w:unhideWhenUsed/>
    <w:qFormat/>
    <w:rsid w:val="00DB6AE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link w:val="Titre3Car"/>
    <w:uiPriority w:val="9"/>
    <w:qFormat/>
    <w:rsid w:val="00677DA5"/>
    <w:pPr>
      <w:spacing w:before="100" w:beforeAutospacing="1" w:after="100" w:afterAutospacing="1"/>
      <w:ind w:right="0"/>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677DA5"/>
    <w:rPr>
      <w:rFonts w:ascii="Times New Roman" w:eastAsia="Times New Roman" w:hAnsi="Times New Roman" w:cs="Times New Roman"/>
      <w:b/>
      <w:bCs/>
      <w:kern w:val="36"/>
      <w:sz w:val="48"/>
      <w:szCs w:val="48"/>
      <w:lang w:eastAsia="fr-FR"/>
    </w:rPr>
  </w:style>
  <w:style w:type="character" w:customStyle="1" w:styleId="Titre3Car">
    <w:name w:val="Titre 3 Car"/>
    <w:basedOn w:val="Policepardfaut"/>
    <w:link w:val="Titre3"/>
    <w:uiPriority w:val="9"/>
    <w:rsid w:val="00677DA5"/>
    <w:rPr>
      <w:rFonts w:ascii="Times New Roman" w:eastAsia="Times New Roman" w:hAnsi="Times New Roman" w:cs="Times New Roman"/>
      <w:b/>
      <w:bCs/>
      <w:sz w:val="27"/>
      <w:szCs w:val="27"/>
      <w:lang w:eastAsia="fr-FR"/>
    </w:rPr>
  </w:style>
  <w:style w:type="paragraph" w:customStyle="1" w:styleId="authors">
    <w:name w:val="authors"/>
    <w:basedOn w:val="Normal"/>
    <w:rsid w:val="00677DA5"/>
    <w:pPr>
      <w:spacing w:before="100" w:beforeAutospacing="1" w:after="100" w:afterAutospacing="1"/>
      <w:ind w:right="0"/>
    </w:pPr>
    <w:rPr>
      <w:rFonts w:ascii="Times New Roman" w:eastAsia="Times New Roman" w:hAnsi="Times New Roman" w:cs="Times New Roman"/>
      <w:sz w:val="24"/>
      <w:szCs w:val="24"/>
      <w:lang w:eastAsia="fr-FR"/>
    </w:rPr>
  </w:style>
  <w:style w:type="paragraph" w:styleId="NormalWeb">
    <w:name w:val="Normal (Web)"/>
    <w:basedOn w:val="Normal"/>
    <w:uiPriority w:val="99"/>
    <w:semiHidden/>
    <w:unhideWhenUsed/>
    <w:rsid w:val="00677DA5"/>
    <w:pPr>
      <w:spacing w:before="100" w:beforeAutospacing="1" w:after="100" w:afterAutospacing="1"/>
      <w:ind w:right="0"/>
    </w:pPr>
    <w:rPr>
      <w:rFonts w:ascii="Times New Roman" w:eastAsia="Times New Roman" w:hAnsi="Times New Roman" w:cs="Times New Roman"/>
      <w:sz w:val="24"/>
      <w:szCs w:val="24"/>
      <w:lang w:eastAsia="fr-FR"/>
    </w:rPr>
  </w:style>
  <w:style w:type="paragraph" w:customStyle="1" w:styleId="comment">
    <w:name w:val="comment"/>
    <w:basedOn w:val="Normal"/>
    <w:rsid w:val="00677DA5"/>
    <w:pPr>
      <w:spacing w:before="100" w:beforeAutospacing="1" w:after="100" w:afterAutospacing="1"/>
      <w:ind w:right="0"/>
    </w:pPr>
    <w:rPr>
      <w:rFonts w:ascii="Times New Roman" w:eastAsia="Times New Roman" w:hAnsi="Times New Roman" w:cs="Times New Roman"/>
      <w:sz w:val="24"/>
      <w:szCs w:val="24"/>
      <w:lang w:eastAsia="fr-FR"/>
    </w:rPr>
  </w:style>
  <w:style w:type="character" w:styleId="Lienhypertexte">
    <w:name w:val="Hyperlink"/>
    <w:basedOn w:val="Policepardfaut"/>
    <w:uiPriority w:val="99"/>
    <w:unhideWhenUsed/>
    <w:rsid w:val="00677DA5"/>
    <w:rPr>
      <w:color w:val="0000FF"/>
      <w:u w:val="single"/>
    </w:rPr>
  </w:style>
  <w:style w:type="character" w:customStyle="1" w:styleId="pw-button-type-looknativetxt">
    <w:name w:val="pw-button-type-looknative__txt"/>
    <w:basedOn w:val="Policepardfaut"/>
    <w:rsid w:val="00677DA5"/>
  </w:style>
  <w:style w:type="character" w:customStyle="1" w:styleId="pw-button-countercount">
    <w:name w:val="pw-button-counter__count"/>
    <w:basedOn w:val="Policepardfaut"/>
    <w:rsid w:val="00677DA5"/>
  </w:style>
  <w:style w:type="character" w:styleId="lev">
    <w:name w:val="Strong"/>
    <w:basedOn w:val="Policepardfaut"/>
    <w:uiPriority w:val="22"/>
    <w:qFormat/>
    <w:rsid w:val="00677DA5"/>
    <w:rPr>
      <w:b/>
      <w:bCs/>
    </w:rPr>
  </w:style>
  <w:style w:type="character" w:styleId="Accentuation">
    <w:name w:val="Emphasis"/>
    <w:basedOn w:val="Policepardfaut"/>
    <w:uiPriority w:val="20"/>
    <w:qFormat/>
    <w:rsid w:val="00677DA5"/>
    <w:rPr>
      <w:i/>
      <w:iCs/>
    </w:rPr>
  </w:style>
  <w:style w:type="paragraph" w:styleId="Titre">
    <w:name w:val="Title"/>
    <w:basedOn w:val="Normal"/>
    <w:next w:val="Normal"/>
    <w:link w:val="TitreCar"/>
    <w:uiPriority w:val="10"/>
    <w:qFormat/>
    <w:rsid w:val="00BD1C64"/>
    <w:pPr>
      <w:pBdr>
        <w:bottom w:val="single" w:sz="8" w:space="4" w:color="4F81BD" w:themeColor="accent1"/>
      </w:pBdr>
      <w:spacing w:after="300"/>
      <w:ind w:right="0"/>
      <w:contextualSpacing/>
    </w:pPr>
    <w:rPr>
      <w:rFonts w:asciiTheme="majorHAnsi" w:eastAsiaTheme="majorEastAsia" w:hAnsiTheme="majorHAnsi" w:cstheme="majorBidi"/>
      <w:color w:val="17365D" w:themeColor="text2" w:themeShade="BF"/>
      <w:spacing w:val="5"/>
      <w:kern w:val="28"/>
      <w:sz w:val="52"/>
      <w:szCs w:val="52"/>
      <w:lang w:eastAsia="fr-FR"/>
    </w:rPr>
  </w:style>
  <w:style w:type="character" w:customStyle="1" w:styleId="TitreCar">
    <w:name w:val="Titre Car"/>
    <w:basedOn w:val="Policepardfaut"/>
    <w:link w:val="Titre"/>
    <w:uiPriority w:val="10"/>
    <w:rsid w:val="00BD1C64"/>
    <w:rPr>
      <w:rFonts w:asciiTheme="majorHAnsi" w:eastAsiaTheme="majorEastAsia" w:hAnsiTheme="majorHAnsi" w:cstheme="majorBidi"/>
      <w:color w:val="17365D" w:themeColor="text2" w:themeShade="BF"/>
      <w:spacing w:val="5"/>
      <w:kern w:val="28"/>
      <w:sz w:val="52"/>
      <w:szCs w:val="52"/>
      <w:lang w:eastAsia="fr-FR"/>
    </w:rPr>
  </w:style>
  <w:style w:type="paragraph" w:styleId="Paragraphedeliste">
    <w:name w:val="List Paragraph"/>
    <w:basedOn w:val="Normal"/>
    <w:uiPriority w:val="34"/>
    <w:qFormat/>
    <w:rsid w:val="00673DC6"/>
    <w:pPr>
      <w:ind w:left="720"/>
      <w:contextualSpacing/>
    </w:pPr>
  </w:style>
  <w:style w:type="character" w:customStyle="1" w:styleId="Titre2Car">
    <w:name w:val="Titre 2 Car"/>
    <w:basedOn w:val="Policepardfaut"/>
    <w:link w:val="Titre2"/>
    <w:uiPriority w:val="9"/>
    <w:rsid w:val="00DB6AE9"/>
    <w:rPr>
      <w:rFonts w:asciiTheme="majorHAnsi" w:eastAsiaTheme="majorEastAsia" w:hAnsiTheme="majorHAnsi" w:cstheme="majorBidi"/>
      <w:b/>
      <w:bCs/>
      <w:color w:val="4F81BD" w:themeColor="accent1"/>
      <w:sz w:val="26"/>
      <w:szCs w:val="26"/>
    </w:rPr>
  </w:style>
  <w:style w:type="table" w:styleId="Grilledutableau">
    <w:name w:val="Table Grid"/>
    <w:basedOn w:val="TableauNormal"/>
    <w:rsid w:val="00F95ECA"/>
    <w:pPr>
      <w:ind w:right="0"/>
    </w:pPr>
    <w:rPr>
      <w:rFonts w:ascii="Times New Roman" w:eastAsia="Times New Roman" w:hAnsi="Times New Roman" w:cs="Times New Roman"/>
      <w:sz w:val="20"/>
      <w:szCs w:val="20"/>
      <w:lang w:eastAsia="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875999857">
      <w:bodyDiv w:val="1"/>
      <w:marLeft w:val="0"/>
      <w:marRight w:val="0"/>
      <w:marTop w:val="0"/>
      <w:marBottom w:val="0"/>
      <w:divBdr>
        <w:top w:val="none" w:sz="0" w:space="0" w:color="auto"/>
        <w:left w:val="none" w:sz="0" w:space="0" w:color="auto"/>
        <w:bottom w:val="none" w:sz="0" w:space="0" w:color="auto"/>
        <w:right w:val="none" w:sz="0" w:space="0" w:color="auto"/>
      </w:divBdr>
      <w:divsChild>
        <w:div w:id="390739007">
          <w:marLeft w:val="0"/>
          <w:marRight w:val="0"/>
          <w:marTop w:val="0"/>
          <w:marBottom w:val="0"/>
          <w:divBdr>
            <w:top w:val="none" w:sz="0" w:space="0" w:color="auto"/>
            <w:left w:val="none" w:sz="0" w:space="0" w:color="auto"/>
            <w:bottom w:val="none" w:sz="0" w:space="0" w:color="auto"/>
            <w:right w:val="none" w:sz="0" w:space="0" w:color="auto"/>
          </w:divBdr>
          <w:divsChild>
            <w:div w:id="2050911964">
              <w:marLeft w:val="0"/>
              <w:marRight w:val="0"/>
              <w:marTop w:val="0"/>
              <w:marBottom w:val="0"/>
              <w:divBdr>
                <w:top w:val="none" w:sz="0" w:space="0" w:color="auto"/>
                <w:left w:val="none" w:sz="0" w:space="0" w:color="auto"/>
                <w:bottom w:val="none" w:sz="0" w:space="0" w:color="auto"/>
                <w:right w:val="none" w:sz="0" w:space="0" w:color="auto"/>
              </w:divBdr>
            </w:div>
            <w:div w:id="2058045559">
              <w:marLeft w:val="0"/>
              <w:marRight w:val="0"/>
              <w:marTop w:val="0"/>
              <w:marBottom w:val="0"/>
              <w:divBdr>
                <w:top w:val="none" w:sz="0" w:space="0" w:color="auto"/>
                <w:left w:val="none" w:sz="0" w:space="0" w:color="auto"/>
                <w:bottom w:val="none" w:sz="0" w:space="0" w:color="auto"/>
                <w:right w:val="none" w:sz="0" w:space="0" w:color="auto"/>
              </w:divBdr>
              <w:divsChild>
                <w:div w:id="221524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esechos.fr/finance-marches/vernimmen/definition_encours-clients.html?9MbDqZ5DlcsaqZW7.99" TargetMode="External"/><Relationship Id="rId3" Type="http://schemas.openxmlformats.org/officeDocument/2006/relationships/settings" Target="settings.xml"/><Relationship Id="rId7" Type="http://schemas.openxmlformats.org/officeDocument/2006/relationships/hyperlink" Target="http://www.lesechos.fr/finance-marches/vernimmen/definition_credit-clients.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lesechos.fr/finance-marches/vernimmen/definition_chiffre-d-affaires.html" TargetMode="External"/><Relationship Id="rId11" Type="http://schemas.openxmlformats.org/officeDocument/2006/relationships/theme" Target="theme/theme1.xml"/><Relationship Id="rId5" Type="http://schemas.openxmlformats.org/officeDocument/2006/relationships/hyperlink" Target="http://www.lesechos.fr/finance-marches/vernimmen/definition_comptes-sociaux.html"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lentreprise.lexpress.fr/marketing-vente/relation-client-entreprise/un-portefeuille-clients-ca-se-travaille_1509042.html"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68</TotalTime>
  <Pages>2</Pages>
  <Words>737</Words>
  <Characters>4056</Characters>
  <Application>Microsoft Office Word</Application>
  <DocSecurity>0</DocSecurity>
  <Lines>33</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4784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Stéphane BESSIERE</dc:creator>
  <cp:lastModifiedBy>Stéphane BESSIERE</cp:lastModifiedBy>
  <cp:revision>20</cp:revision>
  <dcterms:created xsi:type="dcterms:W3CDTF">2014-11-16T12:59:00Z</dcterms:created>
  <dcterms:modified xsi:type="dcterms:W3CDTF">2014-11-20T15:24:00Z</dcterms:modified>
</cp:coreProperties>
</file>